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35" w:rsidRPr="00DA3735" w:rsidRDefault="00DA3735" w:rsidP="00DA3735">
      <w:pPr>
        <w:rPr>
          <w:b/>
          <w:u w:val="single"/>
        </w:rPr>
      </w:pPr>
      <w:r w:rsidRPr="00DA3735">
        <w:rPr>
          <w:b/>
          <w:u w:val="single"/>
        </w:rPr>
        <w:t>Introduction:</w:t>
      </w:r>
    </w:p>
    <w:p w:rsidR="00DA3735" w:rsidRPr="00DA3735" w:rsidRDefault="00DA3735" w:rsidP="00DA3735">
      <w:r w:rsidRPr="00DA3735">
        <w:t xml:space="preserve">The </w:t>
      </w:r>
      <w:proofErr w:type="spellStart"/>
      <w:r w:rsidRPr="00DA3735">
        <w:t>CBi</w:t>
      </w:r>
      <w:proofErr w:type="spellEnd"/>
      <w:r w:rsidRPr="00DA3735">
        <w:t xml:space="preserve"> / Integrity whistleblowing policy is designed to ensure</w:t>
      </w:r>
      <w:r w:rsidRPr="00DA3735">
        <w:t xml:space="preserve"> </w:t>
      </w:r>
      <w:r w:rsidRPr="00DA3735">
        <w:t xml:space="preserve">all employees (paid and unpaid) consultants, contractors and </w:t>
      </w:r>
      <w:r w:rsidRPr="00DA3735">
        <w:t>other</w:t>
      </w:r>
      <w:r w:rsidRPr="00DA3735">
        <w:t xml:space="preserve"> stakeholders </w:t>
      </w:r>
      <w:r w:rsidRPr="00DA3735">
        <w:t>observe high standards of</w:t>
      </w:r>
      <w:r w:rsidRPr="00DA3735">
        <w:t xml:space="preserve"> </w:t>
      </w:r>
      <w:r w:rsidRPr="00DA3735">
        <w:t>business and personal ethics in the conduct of their duties and responsibilities.</w:t>
      </w:r>
    </w:p>
    <w:p w:rsidR="00DA3735" w:rsidRPr="00DA3735" w:rsidRDefault="00DA3735" w:rsidP="00DA3735">
      <w:r w:rsidRPr="00DA3735">
        <w:t>Employees and representatives of the organization must practice honesty and</w:t>
      </w:r>
      <w:r w:rsidRPr="00DA3735">
        <w:t xml:space="preserve"> </w:t>
      </w:r>
      <w:r w:rsidRPr="00DA3735">
        <w:t>integrity in fulfilling their responsibilities and comply with all applicable laws and</w:t>
      </w:r>
      <w:r w:rsidRPr="00DA3735">
        <w:t xml:space="preserve"> </w:t>
      </w:r>
      <w:r w:rsidRPr="00DA3735">
        <w:t>regulations.</w:t>
      </w:r>
    </w:p>
    <w:p w:rsidR="00DA3735" w:rsidRPr="00DA3735" w:rsidRDefault="00DA3735" w:rsidP="00DA3735">
      <w:pPr>
        <w:rPr>
          <w:b/>
          <w:u w:val="single"/>
        </w:rPr>
      </w:pPr>
      <w:r w:rsidRPr="00DA3735">
        <w:rPr>
          <w:b/>
          <w:u w:val="single"/>
        </w:rPr>
        <w:t>Objectives</w:t>
      </w:r>
    </w:p>
    <w:p w:rsidR="00DA3735" w:rsidRPr="00DA3735" w:rsidRDefault="00DA3735" w:rsidP="00DA3735">
      <w:r w:rsidRPr="00DA3735">
        <w:t>The objectives of the w</w:t>
      </w:r>
      <w:r w:rsidRPr="00DA3735">
        <w:t xml:space="preserve">histleblower </w:t>
      </w:r>
      <w:r w:rsidRPr="00DA3735">
        <w:t xml:space="preserve">policy are to establish </w:t>
      </w:r>
      <w:r w:rsidR="00F74343">
        <w:t xml:space="preserve">and provide guidance </w:t>
      </w:r>
      <w:r w:rsidRPr="00DA3735">
        <w:t>for:</w:t>
      </w:r>
    </w:p>
    <w:p w:rsidR="00DA3735" w:rsidRPr="00DA3735" w:rsidRDefault="00F74343" w:rsidP="00DA3735">
      <w:pPr>
        <w:pStyle w:val="ListParagraph"/>
        <w:numPr>
          <w:ilvl w:val="0"/>
          <w:numId w:val="2"/>
        </w:numPr>
      </w:pPr>
      <w:r>
        <w:t>t</w:t>
      </w:r>
      <w:r w:rsidR="00DA3735" w:rsidRPr="00DA3735">
        <w:t xml:space="preserve">he </w:t>
      </w:r>
      <w:r w:rsidR="00DA3735" w:rsidRPr="00DA3735">
        <w:t xml:space="preserve">submission of concerns against legal and ethical standards </w:t>
      </w:r>
      <w:r w:rsidR="00DA3735" w:rsidRPr="00DA3735">
        <w:t>by employees, directors, officers and other stakeholders of the</w:t>
      </w:r>
      <w:r w:rsidR="00DA3735" w:rsidRPr="00DA3735">
        <w:t xml:space="preserve"> </w:t>
      </w:r>
      <w:r w:rsidR="00DA3735" w:rsidRPr="00DA3735">
        <w:t>organization, on a confidential basis.</w:t>
      </w:r>
    </w:p>
    <w:p w:rsidR="00DA3735" w:rsidRPr="00DA3735" w:rsidRDefault="00F74343" w:rsidP="00DA3735">
      <w:pPr>
        <w:pStyle w:val="ListParagraph"/>
        <w:numPr>
          <w:ilvl w:val="0"/>
          <w:numId w:val="2"/>
        </w:numPr>
      </w:pPr>
      <w:r>
        <w:t>t</w:t>
      </w:r>
      <w:r w:rsidR="00DA3735" w:rsidRPr="00DA3735">
        <w:t>he receipt, retention, and treatment of complaints received by the</w:t>
      </w:r>
      <w:r w:rsidR="00DA3735" w:rsidRPr="00DA3735">
        <w:t xml:space="preserve"> organization from a whistleblower.</w:t>
      </w:r>
    </w:p>
    <w:p w:rsidR="00DA3735" w:rsidRPr="00DA3735" w:rsidRDefault="00F74343" w:rsidP="00DA3735">
      <w:pPr>
        <w:pStyle w:val="ListParagraph"/>
        <w:numPr>
          <w:ilvl w:val="0"/>
          <w:numId w:val="2"/>
        </w:numPr>
      </w:pPr>
      <w:r>
        <w:t>t</w:t>
      </w:r>
      <w:r w:rsidR="00DA3735" w:rsidRPr="00DA3735">
        <w:t xml:space="preserve">he protection of whistleblowers </w:t>
      </w:r>
      <w:r w:rsidR="00DA3735" w:rsidRPr="00DA3735">
        <w:t>from retaliatory actions.</w:t>
      </w:r>
    </w:p>
    <w:p w:rsidR="00DA3735" w:rsidRPr="00DA3735" w:rsidRDefault="00DA3735">
      <w:pPr>
        <w:rPr>
          <w:b/>
          <w:u w:val="single"/>
        </w:rPr>
      </w:pPr>
      <w:r w:rsidRPr="00DA3735">
        <w:rPr>
          <w:b/>
          <w:u w:val="single"/>
        </w:rPr>
        <w:t>Policy and Procedures</w:t>
      </w:r>
    </w:p>
    <w:p w:rsidR="00DA3735" w:rsidRPr="00DA3735" w:rsidRDefault="00DA3735" w:rsidP="00DA3735">
      <w:pPr>
        <w:pStyle w:val="ListParagraph"/>
        <w:numPr>
          <w:ilvl w:val="0"/>
          <w:numId w:val="1"/>
        </w:numPr>
      </w:pPr>
      <w:r w:rsidRPr="00DA3735">
        <w:t xml:space="preserve">The Whistleblower should promptly report the suspected or actual event to his/her supervisor. </w:t>
      </w:r>
    </w:p>
    <w:p w:rsidR="00DA3735" w:rsidRPr="00DA3735" w:rsidRDefault="00DA3735" w:rsidP="00DA3735">
      <w:pPr>
        <w:pStyle w:val="ListParagraph"/>
        <w:numPr>
          <w:ilvl w:val="0"/>
          <w:numId w:val="1"/>
        </w:numPr>
      </w:pPr>
      <w:r w:rsidRPr="00DA3735">
        <w:t xml:space="preserve">If the Whistleblower would be uncomfortable or otherwise reluctant to report to his/her supervisor, then the Whistleblower could report the event to the next highest or another level of management, including to </w:t>
      </w:r>
      <w:r w:rsidRPr="00DA3735">
        <w:t xml:space="preserve">the CEO or </w:t>
      </w:r>
      <w:r w:rsidRPr="00DA3735">
        <w:t xml:space="preserve">an appropriate Board committee or member. </w:t>
      </w:r>
    </w:p>
    <w:p w:rsidR="00DA3735" w:rsidRPr="00DA3735" w:rsidRDefault="00DA3735" w:rsidP="00DA3735">
      <w:pPr>
        <w:pStyle w:val="ListParagraph"/>
        <w:numPr>
          <w:ilvl w:val="0"/>
          <w:numId w:val="1"/>
        </w:numPr>
      </w:pPr>
      <w:r w:rsidRPr="00DA3735">
        <w:t xml:space="preserve">The Whistleblower can report the event with his/her identity or anonymously. </w:t>
      </w:r>
    </w:p>
    <w:p w:rsidR="00DA3735" w:rsidRPr="00DA3735" w:rsidRDefault="00DA3735" w:rsidP="00DA3735">
      <w:pPr>
        <w:pStyle w:val="ListParagraph"/>
        <w:numPr>
          <w:ilvl w:val="0"/>
          <w:numId w:val="1"/>
        </w:numPr>
      </w:pPr>
      <w:r w:rsidRPr="00DA3735">
        <w:t xml:space="preserve">The whistleblower </w:t>
      </w:r>
      <w:r w:rsidRPr="00DA3735">
        <w:t xml:space="preserve">shall </w:t>
      </w:r>
      <w:r w:rsidRPr="00DA3735">
        <w:t xml:space="preserve">NOT </w:t>
      </w:r>
      <w:r w:rsidRPr="00DA3735">
        <w:t>be subject to</w:t>
      </w:r>
      <w:r w:rsidRPr="00DA3735">
        <w:t xml:space="preserve"> </w:t>
      </w:r>
      <w:r w:rsidRPr="00DA3735">
        <w:t>retaliation or, in the case of an employee, adverse</w:t>
      </w:r>
      <w:r w:rsidRPr="00DA3735">
        <w:t xml:space="preserve"> em</w:t>
      </w:r>
      <w:r w:rsidRPr="00DA3735">
        <w:t>ployment consequences.</w:t>
      </w:r>
      <w:r w:rsidRPr="00DA3735">
        <w:t xml:space="preserve"> </w:t>
      </w:r>
      <w:r w:rsidRPr="00DA3735">
        <w:t>Moreover, a volunteer or employee who retaliates against someone who has</w:t>
      </w:r>
      <w:r w:rsidRPr="00DA3735">
        <w:t xml:space="preserve"> </w:t>
      </w:r>
      <w:r w:rsidRPr="00DA3735">
        <w:t>rep</w:t>
      </w:r>
      <w:r w:rsidRPr="00DA3735">
        <w:t>orted a Concern in good faith shall be</w:t>
      </w:r>
      <w:r w:rsidRPr="00DA3735">
        <w:t xml:space="preserve"> subject to discipline up to and including</w:t>
      </w:r>
      <w:r w:rsidRPr="00DA3735">
        <w:t xml:space="preserve"> </w:t>
      </w:r>
      <w:r w:rsidRPr="00DA3735">
        <w:t>dism</w:t>
      </w:r>
      <w:r w:rsidRPr="00DA3735">
        <w:t>issal /</w:t>
      </w:r>
      <w:r w:rsidRPr="00DA3735">
        <w:t xml:space="preserve"> termination of employment.</w:t>
      </w:r>
    </w:p>
    <w:p w:rsidR="00DA3735" w:rsidRPr="00DA3735" w:rsidRDefault="00DA3735" w:rsidP="00DA3735">
      <w:pPr>
        <w:pStyle w:val="ListParagraph"/>
        <w:numPr>
          <w:ilvl w:val="0"/>
          <w:numId w:val="1"/>
        </w:numPr>
      </w:pPr>
      <w:r w:rsidRPr="00DA3735">
        <w:t>Supervisors, managers and/</w:t>
      </w:r>
      <w:r w:rsidRPr="00DA3735">
        <w:t xml:space="preserve">directors / </w:t>
      </w:r>
      <w:r w:rsidRPr="00DA3735">
        <w:t xml:space="preserve">or Board members who receive the reports must promptly act to investigate and/or resolve the issue. </w:t>
      </w:r>
    </w:p>
    <w:p w:rsidR="00DA3735" w:rsidRPr="00DA3735" w:rsidRDefault="00DA3735" w:rsidP="00DA3735">
      <w:pPr>
        <w:pStyle w:val="ListParagraph"/>
        <w:numPr>
          <w:ilvl w:val="0"/>
          <w:numId w:val="1"/>
        </w:numPr>
      </w:pPr>
      <w:r w:rsidRPr="00DA3735">
        <w:t>T</w:t>
      </w:r>
      <w:r w:rsidRPr="00DA3735">
        <w:t>he Whistleblower shall receive investigation</w:t>
      </w:r>
      <w:r w:rsidRPr="00DA3735">
        <w:t xml:space="preserve"> report within five business days of the initial rep</w:t>
      </w:r>
      <w:r w:rsidRPr="00DA3735">
        <w:t xml:space="preserve">orting. The report shall include </w:t>
      </w:r>
      <w:r w:rsidRPr="00DA3735">
        <w:t>disposition or resolution of the issue.</w:t>
      </w:r>
    </w:p>
    <w:p w:rsidR="00DA3735" w:rsidRDefault="00DA3735" w:rsidP="00DA3735">
      <w:pPr>
        <w:pStyle w:val="ListParagraph"/>
        <w:numPr>
          <w:ilvl w:val="0"/>
          <w:numId w:val="1"/>
        </w:numPr>
      </w:pPr>
      <w:r w:rsidRPr="00DA3735">
        <w:t xml:space="preserve">If the </w:t>
      </w:r>
      <w:r w:rsidRPr="00DA3735">
        <w:t xml:space="preserve">Whistleblower is not satisfied with the treatment or perceive concern will not be sufficiently treated, </w:t>
      </w:r>
      <w:r w:rsidRPr="00DA3735">
        <w:t xml:space="preserve">he/she </w:t>
      </w:r>
      <w:r w:rsidRPr="00DA3735">
        <w:t>can</w:t>
      </w:r>
      <w:r w:rsidRPr="00DA3735">
        <w:t xml:space="preserve"> report the event to </w:t>
      </w:r>
      <w:proofErr w:type="spellStart"/>
      <w:r w:rsidRPr="00DA3735">
        <w:rPr>
          <w:b/>
        </w:rPr>
        <w:t>Egunje.ifo</w:t>
      </w:r>
      <w:proofErr w:type="spellEnd"/>
      <w:r w:rsidRPr="00DA3735">
        <w:rPr>
          <w:b/>
        </w:rPr>
        <w:t xml:space="preserve">, </w:t>
      </w:r>
      <w:hyperlink r:id="rId7" w:history="1">
        <w:r w:rsidRPr="00DA3735">
          <w:rPr>
            <w:rStyle w:val="Hyperlink"/>
            <w:b/>
          </w:rPr>
          <w:t>www.egunje.info.com</w:t>
        </w:r>
      </w:hyperlink>
      <w:r w:rsidRPr="00DA3735">
        <w:t xml:space="preserve">  (with back end viewing access by ICPC) or to </w:t>
      </w:r>
      <w:r w:rsidRPr="00DA3735">
        <w:t>the appropriate legal or investigative agency.</w:t>
      </w:r>
    </w:p>
    <w:p w:rsidR="00F74343" w:rsidRPr="00DA3735" w:rsidRDefault="00F74343" w:rsidP="00F74343">
      <w:pPr>
        <w:pStyle w:val="ListParagraph"/>
        <w:numPr>
          <w:ilvl w:val="0"/>
          <w:numId w:val="1"/>
        </w:numPr>
      </w:pPr>
      <w:r>
        <w:t>Concerns</w:t>
      </w:r>
      <w:r w:rsidRPr="00F74343">
        <w:t xml:space="preserve"> relating to fraud or corrupt practices</w:t>
      </w:r>
      <w:r>
        <w:t xml:space="preserve">, </w:t>
      </w:r>
      <w:r w:rsidRPr="00F74343">
        <w:t xml:space="preserve">misuse of funds, money laundering and terrorism financing, where DFID are involved </w:t>
      </w:r>
      <w:r w:rsidRPr="00F74343">
        <w:t>should be reported immediately to the DFID Counter Fraud &amp; Whistleblowing Unit (CFWU) (including the use of the DFID external website fraud mailbox).</w:t>
      </w:r>
    </w:p>
    <w:p w:rsidR="00DA3735" w:rsidRDefault="00DA3735" w:rsidP="00DA3735">
      <w:pPr>
        <w:pStyle w:val="ListParagraph"/>
        <w:numPr>
          <w:ilvl w:val="0"/>
          <w:numId w:val="1"/>
        </w:numPr>
      </w:pPr>
      <w:r w:rsidRPr="00DA3735">
        <w:t>Whistleblower</w:t>
      </w:r>
      <w:r w:rsidRPr="00DA3735">
        <w:t>’s identity</w:t>
      </w:r>
      <w:r w:rsidRPr="00DA3735">
        <w:t>, if known, shall remain confidential to those persons directly involved i</w:t>
      </w:r>
      <w:bookmarkStart w:id="0" w:name="_GoBack"/>
      <w:bookmarkEnd w:id="0"/>
      <w:r w:rsidRPr="00DA3735">
        <w:t>n applying this policy, unless the issue requires inve</w:t>
      </w:r>
      <w:r w:rsidRPr="00DA3735">
        <w:t>stigation by law enforcement.</w:t>
      </w:r>
    </w:p>
    <w:sectPr w:rsidR="00DA37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735" w:rsidRDefault="00DA3735" w:rsidP="00DA3735">
      <w:pPr>
        <w:spacing w:after="0" w:line="240" w:lineRule="auto"/>
      </w:pPr>
      <w:r>
        <w:separator/>
      </w:r>
    </w:p>
  </w:endnote>
  <w:endnote w:type="continuationSeparator" w:id="0">
    <w:p w:rsidR="00DA3735" w:rsidRDefault="00DA3735" w:rsidP="00DA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735" w:rsidRDefault="00DA3735" w:rsidP="00DA3735">
      <w:pPr>
        <w:spacing w:after="0" w:line="240" w:lineRule="auto"/>
      </w:pPr>
      <w:r>
        <w:separator/>
      </w:r>
    </w:p>
  </w:footnote>
  <w:footnote w:type="continuationSeparator" w:id="0">
    <w:p w:rsidR="00DA3735" w:rsidRDefault="00DA3735" w:rsidP="00DA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735" w:rsidRDefault="00DA3735" w:rsidP="00DA3735">
    <w:pPr>
      <w:pStyle w:val="Header"/>
      <w:jc w:val="right"/>
    </w:pPr>
    <w:r w:rsidRPr="007F6965">
      <w:rPr>
        <w:noProof/>
      </w:rPr>
      <w:drawing>
        <wp:inline distT="0" distB="0" distL="0" distR="0" wp14:anchorId="2F9DFF53" wp14:editId="5B58E220">
          <wp:extent cx="1104900" cy="75163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8039" cy="767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3735" w:rsidRPr="00DA3735" w:rsidRDefault="00DA3735" w:rsidP="00DA3735">
    <w:pPr>
      <w:jc w:val="center"/>
      <w:rPr>
        <w:b/>
        <w:sz w:val="28"/>
        <w:szCs w:val="28"/>
      </w:rPr>
    </w:pPr>
    <w:r w:rsidRPr="00DA3735">
      <w:rPr>
        <w:b/>
        <w:sz w:val="28"/>
        <w:szCs w:val="28"/>
      </w:rPr>
      <w:t>Whistleblower Policy</w:t>
    </w:r>
  </w:p>
  <w:p w:rsidR="00DA3735" w:rsidRPr="00DA3735" w:rsidRDefault="00DA3735" w:rsidP="00DA3735">
    <w:pPr>
      <w:jc w:val="center"/>
      <w:rPr>
        <w:b/>
        <w:sz w:val="16"/>
        <w:szCs w:val="16"/>
      </w:rPr>
    </w:pPr>
    <w:r>
      <w:rPr>
        <w:b/>
        <w:sz w:val="16"/>
        <w:szCs w:val="16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723CC"/>
    <w:multiLevelType w:val="hybridMultilevel"/>
    <w:tmpl w:val="220E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12D7"/>
    <w:multiLevelType w:val="hybridMultilevel"/>
    <w:tmpl w:val="3A96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35"/>
    <w:rsid w:val="002B6512"/>
    <w:rsid w:val="00DA3735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1245"/>
  <w15:chartTrackingRefBased/>
  <w15:docId w15:val="{808364A5-1CE5-494F-B520-66EBFAE1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3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A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735"/>
  </w:style>
  <w:style w:type="paragraph" w:styleId="Footer">
    <w:name w:val="footer"/>
    <w:basedOn w:val="Normal"/>
    <w:link w:val="FooterChar"/>
    <w:uiPriority w:val="99"/>
    <w:unhideWhenUsed/>
    <w:rsid w:val="00DA3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gunje.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2</cp:revision>
  <dcterms:created xsi:type="dcterms:W3CDTF">2018-08-30T22:21:00Z</dcterms:created>
  <dcterms:modified xsi:type="dcterms:W3CDTF">2018-08-30T23:26:00Z</dcterms:modified>
</cp:coreProperties>
</file>